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2BB88F4D">
      <w:pPr>
        <w:numPr>
          <w:ilvl w:val="0"/>
          <w:numId w:val="0"/>
        </w:numPr>
        <w:jc w:val="center"/>
        <w:rPr>
          <w:rFonts w:hint="eastAsia" w:ascii="宋体" w:hAnsi="宋体" w:eastAsia="宋体" w:cs="宋体"/>
          <w:b/>
          <w:i w:val="0"/>
          <w:caps/>
          <w:color w:val="333333"/>
          <w:spacing w:val="0"/>
          <w:sz w:val="32"/>
          <w:szCs w:val="32"/>
          <w:lang w:val="en-US" w:eastAsia="zh-CN"/>
        </w:rPr>
      </w:pPr>
      <w:r>
        <w:rPr>
          <w:rFonts w:hint="eastAsia" w:ascii="宋体" w:hAnsi="宋体" w:eastAsia="宋体" w:cs="宋体"/>
          <w:b/>
          <w:i w:val="0"/>
          <w:caps/>
          <w:color w:val="333333"/>
          <w:spacing w:val="0"/>
          <w:sz w:val="32"/>
          <w:szCs w:val="32"/>
          <w:lang w:val="en-US" w:eastAsia="zh-CN"/>
        </w:rPr>
        <w:t>西门子血管造影机Artis Q floor 保修服务项目（二次）</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2026年1月27日</w:t>
      </w:r>
      <w:bookmarkStart w:id="1" w:name="_GoBack"/>
      <w:bookmarkEnd w:id="1"/>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0168147D">
      <w:pPr>
        <w:numPr>
          <w:ilvl w:val="0"/>
          <w:numId w:val="0"/>
        </w:numPr>
        <w:rPr>
          <w:rFonts w:hint="eastAsia" w:ascii="宋体" w:hAnsi="宋体" w:eastAsia="宋体" w:cs="宋体"/>
          <w:b/>
          <w:bCs/>
          <w:sz w:val="28"/>
          <w:szCs w:val="28"/>
          <w:lang w:val="en-US" w:eastAsia="zh-CN"/>
        </w:rPr>
      </w:pPr>
    </w:p>
    <w:p w14:paraId="15512FAF">
      <w:pPr>
        <w:numPr>
          <w:ilvl w:val="0"/>
          <w:numId w:val="0"/>
        </w:numPr>
        <w:rPr>
          <w:rFonts w:hint="eastAsia" w:ascii="宋体" w:hAnsi="宋体" w:eastAsia="宋体" w:cs="宋体"/>
          <w:b/>
          <w:bCs/>
          <w:sz w:val="28"/>
          <w:szCs w:val="28"/>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84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865"/>
        <w:gridCol w:w="903"/>
        <w:gridCol w:w="826"/>
        <w:gridCol w:w="1338"/>
        <w:gridCol w:w="1596"/>
      </w:tblGrid>
      <w:tr w14:paraId="05233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939" w:type="dxa"/>
            <w:vAlign w:val="center"/>
          </w:tcPr>
          <w:p w14:paraId="1910BF33">
            <w:pPr>
              <w:rPr>
                <w:rFonts w:hint="eastAsia" w:ascii="宋体" w:hAnsi="宋体" w:eastAsia="宋体" w:cs="宋体"/>
                <w:sz w:val="24"/>
                <w:szCs w:val="24"/>
              </w:rPr>
            </w:pPr>
            <w:r>
              <w:rPr>
                <w:rFonts w:hint="eastAsia" w:ascii="宋体" w:hAnsi="宋体" w:eastAsia="宋体" w:cs="宋体"/>
                <w:sz w:val="24"/>
                <w:szCs w:val="24"/>
              </w:rPr>
              <w:t>序号</w:t>
            </w:r>
          </w:p>
        </w:tc>
        <w:tc>
          <w:tcPr>
            <w:tcW w:w="2865" w:type="dxa"/>
            <w:vAlign w:val="center"/>
          </w:tcPr>
          <w:p w14:paraId="0D692F2C">
            <w:pPr>
              <w:rPr>
                <w:rFonts w:hint="eastAsia" w:ascii="宋体" w:hAnsi="宋体" w:eastAsia="宋体" w:cs="宋体"/>
                <w:sz w:val="24"/>
                <w:szCs w:val="24"/>
              </w:rPr>
            </w:pPr>
            <w:r>
              <w:rPr>
                <w:rFonts w:hint="eastAsia" w:ascii="宋体" w:hAnsi="宋体" w:eastAsia="宋体" w:cs="宋体"/>
                <w:sz w:val="24"/>
                <w:szCs w:val="24"/>
              </w:rPr>
              <w:t>名称</w:t>
            </w:r>
          </w:p>
        </w:tc>
        <w:tc>
          <w:tcPr>
            <w:tcW w:w="903" w:type="dxa"/>
            <w:vAlign w:val="center"/>
          </w:tcPr>
          <w:p w14:paraId="1C0D1E1E">
            <w:pPr>
              <w:rPr>
                <w:rFonts w:hint="eastAsia" w:ascii="宋体" w:hAnsi="宋体" w:eastAsia="宋体" w:cs="宋体"/>
                <w:sz w:val="24"/>
                <w:szCs w:val="24"/>
              </w:rPr>
            </w:pPr>
            <w:r>
              <w:rPr>
                <w:rFonts w:hint="eastAsia" w:ascii="宋体" w:hAnsi="宋体" w:eastAsia="宋体" w:cs="宋体"/>
                <w:sz w:val="24"/>
                <w:szCs w:val="24"/>
              </w:rPr>
              <w:t>单位</w:t>
            </w:r>
          </w:p>
        </w:tc>
        <w:tc>
          <w:tcPr>
            <w:tcW w:w="826" w:type="dxa"/>
            <w:vAlign w:val="center"/>
          </w:tcPr>
          <w:p w14:paraId="11B1F69C">
            <w:pPr>
              <w:rPr>
                <w:rFonts w:hint="eastAsia" w:ascii="宋体" w:hAnsi="宋体" w:eastAsia="宋体" w:cs="宋体"/>
                <w:sz w:val="24"/>
                <w:szCs w:val="24"/>
              </w:rPr>
            </w:pPr>
            <w:r>
              <w:rPr>
                <w:rFonts w:hint="eastAsia" w:ascii="宋体" w:hAnsi="宋体" w:eastAsia="宋体" w:cs="宋体"/>
                <w:sz w:val="24"/>
                <w:szCs w:val="24"/>
              </w:rPr>
              <w:t>数量</w:t>
            </w:r>
          </w:p>
        </w:tc>
        <w:tc>
          <w:tcPr>
            <w:tcW w:w="1338" w:type="dxa"/>
            <w:vAlign w:val="center"/>
          </w:tcPr>
          <w:p w14:paraId="1BE66D99">
            <w:pPr>
              <w:rPr>
                <w:rFonts w:hint="eastAsia" w:ascii="宋体" w:hAnsi="宋体" w:eastAsia="宋体" w:cs="宋体"/>
                <w:sz w:val="24"/>
                <w:szCs w:val="24"/>
              </w:rPr>
            </w:pPr>
            <w:r>
              <w:rPr>
                <w:rFonts w:hint="eastAsia" w:ascii="宋体" w:hAnsi="宋体" w:eastAsia="宋体" w:cs="宋体"/>
                <w:sz w:val="24"/>
                <w:szCs w:val="24"/>
              </w:rPr>
              <w:t>预算单价</w:t>
            </w:r>
          </w:p>
        </w:tc>
        <w:tc>
          <w:tcPr>
            <w:tcW w:w="1596" w:type="dxa"/>
            <w:vAlign w:val="center"/>
          </w:tcPr>
          <w:p w14:paraId="1EDF9CFC">
            <w:pPr>
              <w:rPr>
                <w:rFonts w:hint="eastAsia" w:ascii="宋体" w:hAnsi="宋体" w:eastAsia="宋体" w:cs="宋体"/>
                <w:sz w:val="24"/>
                <w:szCs w:val="24"/>
              </w:rPr>
            </w:pPr>
            <w:r>
              <w:rPr>
                <w:rFonts w:hint="eastAsia" w:ascii="宋体" w:hAnsi="宋体" w:eastAsia="宋体" w:cs="宋体"/>
                <w:sz w:val="24"/>
                <w:szCs w:val="24"/>
              </w:rPr>
              <w:t>预算总价</w:t>
            </w:r>
          </w:p>
        </w:tc>
      </w:tr>
      <w:tr w14:paraId="3B75A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020C3DD7">
            <w:pPr>
              <w:rPr>
                <w:rFonts w:hint="eastAsia" w:ascii="宋体" w:hAnsi="宋体" w:eastAsia="宋体" w:cs="宋体"/>
                <w:sz w:val="24"/>
                <w:szCs w:val="24"/>
              </w:rPr>
            </w:pPr>
            <w:r>
              <w:rPr>
                <w:rFonts w:hint="eastAsia" w:ascii="宋体" w:hAnsi="宋体" w:eastAsia="宋体" w:cs="宋体"/>
                <w:sz w:val="24"/>
                <w:szCs w:val="24"/>
              </w:rPr>
              <w:t>1</w:t>
            </w:r>
          </w:p>
        </w:tc>
        <w:tc>
          <w:tcPr>
            <w:tcW w:w="2865" w:type="dxa"/>
            <w:vAlign w:val="center"/>
          </w:tcPr>
          <w:p w14:paraId="7937138B">
            <w:pPr>
              <w:rPr>
                <w:rFonts w:hint="default" w:ascii="宋体" w:hAnsi="宋体" w:eastAsia="宋体" w:cs="宋体"/>
                <w:lang w:val="en-US" w:eastAsia="zh-CN"/>
              </w:rPr>
            </w:pPr>
            <w:r>
              <w:rPr>
                <w:rFonts w:hint="eastAsia" w:ascii="宋体" w:hAnsi="宋体" w:eastAsia="宋体" w:cs="宋体"/>
                <w:lang w:val="en-US" w:eastAsia="zh-CN"/>
              </w:rPr>
              <w:t>东胜部西门子血管造影机Artis Q floor 保修服务项目</w:t>
            </w:r>
          </w:p>
        </w:tc>
        <w:tc>
          <w:tcPr>
            <w:tcW w:w="903" w:type="dxa"/>
            <w:vAlign w:val="center"/>
          </w:tcPr>
          <w:p w14:paraId="3380C673">
            <w:pPr>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826" w:type="dxa"/>
            <w:vAlign w:val="center"/>
          </w:tcPr>
          <w:p w14:paraId="24D6A964">
            <w:pPr>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338" w:type="dxa"/>
            <w:vAlign w:val="center"/>
          </w:tcPr>
          <w:p w14:paraId="287EB1F3">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780000</w:t>
            </w:r>
          </w:p>
        </w:tc>
        <w:tc>
          <w:tcPr>
            <w:tcW w:w="1596" w:type="dxa"/>
            <w:vAlign w:val="center"/>
          </w:tcPr>
          <w:p w14:paraId="7BE61F76">
            <w:pPr>
              <w:rPr>
                <w:rFonts w:hint="default" w:ascii="宋体" w:hAnsi="宋体" w:eastAsia="宋体" w:cs="宋体"/>
                <w:sz w:val="24"/>
                <w:szCs w:val="24"/>
                <w:lang w:val="en-US"/>
              </w:rPr>
            </w:pPr>
            <w:r>
              <w:rPr>
                <w:rFonts w:hint="eastAsia" w:ascii="宋体" w:hAnsi="宋体" w:eastAsia="宋体" w:cs="宋体"/>
                <w:sz w:val="24"/>
                <w:szCs w:val="24"/>
                <w:lang w:val="en-US" w:eastAsia="zh-CN"/>
              </w:rPr>
              <w:t>780000</w:t>
            </w:r>
          </w:p>
        </w:tc>
      </w:tr>
      <w:tr w14:paraId="4C8B8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72D96DA2">
            <w:pPr>
              <w:rPr>
                <w:rFonts w:hint="eastAsia" w:ascii="宋体" w:hAnsi="宋体" w:eastAsia="宋体" w:cs="宋体"/>
                <w:sz w:val="24"/>
                <w:szCs w:val="24"/>
              </w:rPr>
            </w:pPr>
          </w:p>
        </w:tc>
        <w:tc>
          <w:tcPr>
            <w:tcW w:w="5932" w:type="dxa"/>
            <w:gridSpan w:val="4"/>
            <w:vAlign w:val="center"/>
          </w:tcPr>
          <w:p w14:paraId="37696D99">
            <w:pPr>
              <w:ind w:firstLine="2400" w:firstLineChars="10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总价合计</w:t>
            </w:r>
          </w:p>
        </w:tc>
        <w:tc>
          <w:tcPr>
            <w:tcW w:w="1596" w:type="dxa"/>
            <w:vAlign w:val="center"/>
          </w:tcPr>
          <w:p w14:paraId="3EB4686C">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780000</w:t>
            </w:r>
          </w:p>
        </w:tc>
      </w:tr>
      <w:tr w14:paraId="0641F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939" w:type="dxa"/>
            <w:vAlign w:val="center"/>
          </w:tcPr>
          <w:p w14:paraId="5EF4EBE5">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2865" w:type="dxa"/>
            <w:vAlign w:val="center"/>
          </w:tcPr>
          <w:p w14:paraId="7A4C9B67">
            <w:pPr>
              <w:rPr>
                <w:rFonts w:hint="eastAsia" w:ascii="宋体" w:hAnsi="宋体" w:eastAsia="宋体" w:cs="宋体"/>
                <w:sz w:val="24"/>
                <w:szCs w:val="24"/>
              </w:rPr>
            </w:pPr>
            <w:r>
              <w:rPr>
                <w:rFonts w:hint="eastAsia" w:ascii="宋体" w:hAnsi="宋体" w:eastAsia="宋体" w:cs="宋体"/>
                <w:sz w:val="24"/>
                <w:szCs w:val="24"/>
                <w:lang w:val="en-US" w:eastAsia="zh-CN"/>
              </w:rPr>
              <w:t>入场服务</w:t>
            </w:r>
            <w:r>
              <w:rPr>
                <w:rFonts w:hint="eastAsia" w:ascii="宋体" w:hAnsi="宋体" w:eastAsia="宋体" w:cs="宋体"/>
                <w:sz w:val="24"/>
                <w:szCs w:val="24"/>
              </w:rPr>
              <w:t>时间</w:t>
            </w:r>
          </w:p>
        </w:tc>
        <w:tc>
          <w:tcPr>
            <w:tcW w:w="4663" w:type="dxa"/>
            <w:gridSpan w:val="4"/>
            <w:vAlign w:val="center"/>
          </w:tcPr>
          <w:p w14:paraId="1601EAB5">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合同签订后5日内</w:t>
            </w:r>
          </w:p>
        </w:tc>
      </w:tr>
      <w:tr w14:paraId="24916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62FF5FAE">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2865" w:type="dxa"/>
            <w:vAlign w:val="center"/>
          </w:tcPr>
          <w:p w14:paraId="02CBBBCF">
            <w:pPr>
              <w:rPr>
                <w:rFonts w:hint="eastAsia" w:ascii="宋体" w:hAnsi="宋体" w:eastAsia="宋体" w:cs="宋体"/>
                <w:sz w:val="24"/>
                <w:szCs w:val="24"/>
              </w:rPr>
            </w:pPr>
            <w:r>
              <w:rPr>
                <w:rFonts w:hint="eastAsia" w:ascii="宋体" w:hAnsi="宋体" w:eastAsia="宋体" w:cs="宋体"/>
                <w:sz w:val="24"/>
                <w:szCs w:val="24"/>
              </w:rPr>
              <w:t>付款方式</w:t>
            </w:r>
          </w:p>
        </w:tc>
        <w:tc>
          <w:tcPr>
            <w:tcW w:w="4663" w:type="dxa"/>
            <w:gridSpan w:val="4"/>
            <w:vAlign w:val="center"/>
          </w:tcPr>
          <w:p w14:paraId="17AA020E">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签订合同，6个月后付合同总金额的50%，保修期到验收合格后，付剩余50%的款项。</w:t>
            </w:r>
          </w:p>
        </w:tc>
      </w:tr>
      <w:tr w14:paraId="1ACAA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0D279945">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865" w:type="dxa"/>
            <w:vAlign w:val="center"/>
          </w:tcPr>
          <w:p w14:paraId="4D36D1AB">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服务期</w:t>
            </w:r>
          </w:p>
        </w:tc>
        <w:tc>
          <w:tcPr>
            <w:tcW w:w="4663" w:type="dxa"/>
            <w:gridSpan w:val="4"/>
            <w:vAlign w:val="center"/>
          </w:tcPr>
          <w:p w14:paraId="53BBDC35">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合同期满前30个工作日内，甲方对乙方服务质量、履约情况进行评估，评估合格后，甲方可决定续签下一年度合同。合同可续签2次，累计总服务期限最长不超过 3 年。</w:t>
            </w:r>
          </w:p>
        </w:tc>
      </w:tr>
      <w:tr w14:paraId="720F0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6803EE82">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865" w:type="dxa"/>
            <w:vAlign w:val="center"/>
          </w:tcPr>
          <w:p w14:paraId="1DF84BB0">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服务地点</w:t>
            </w:r>
          </w:p>
        </w:tc>
        <w:tc>
          <w:tcPr>
            <w:tcW w:w="4663" w:type="dxa"/>
            <w:gridSpan w:val="4"/>
            <w:vAlign w:val="center"/>
          </w:tcPr>
          <w:p w14:paraId="7539A310">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鄂尔多斯市中心医院（东胜部）</w:t>
            </w:r>
          </w:p>
        </w:tc>
      </w:tr>
    </w:tbl>
    <w:p w14:paraId="6E4C0A80">
      <w:pPr>
        <w:rPr>
          <w:rFonts w:hint="eastAsia" w:hAnsi="宋体"/>
          <w:sz w:val="22"/>
          <w:szCs w:val="22"/>
          <w:lang w:val="en-US" w:eastAsia="zh-CN"/>
        </w:rPr>
      </w:pPr>
      <w:r>
        <w:rPr>
          <w:rFonts w:hint="eastAsia" w:hAnsi="宋体"/>
          <w:sz w:val="22"/>
          <w:szCs w:val="22"/>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482"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项目概况</w:t>
      </w:r>
    </w:p>
    <w:p w14:paraId="450961EA">
      <w:pPr>
        <w:spacing w:line="600" w:lineRule="exact"/>
        <w:ind w:firstLine="480" w:firstLineChars="200"/>
        <w:rPr>
          <w:rFonts w:hint="eastAsia" w:ascii="宋体" w:hAnsi="宋体" w:eastAsia="宋体" w:cs="宋体"/>
          <w:sz w:val="32"/>
          <w:szCs w:val="32"/>
        </w:rPr>
      </w:pPr>
      <w:r>
        <w:rPr>
          <w:rFonts w:hint="eastAsia" w:ascii="宋体" w:hAnsi="宋体" w:eastAsia="宋体"/>
          <w:sz w:val="24"/>
          <w:szCs w:val="24"/>
        </w:rPr>
        <w:t>（1）项目基本情况介绍：</w:t>
      </w:r>
      <w:r>
        <w:rPr>
          <w:rFonts w:hint="eastAsia" w:ascii="宋体" w:hAnsi="宋体" w:eastAsia="宋体"/>
          <w:sz w:val="24"/>
          <w:szCs w:val="24"/>
          <w:lang w:val="en-US" w:eastAsia="zh-CN"/>
        </w:rPr>
        <w:t>东胜部在用的血管造影机</w:t>
      </w:r>
      <w:r>
        <w:rPr>
          <w:rFonts w:hint="eastAsia" w:ascii="宋体" w:hAnsi="宋体" w:eastAsia="宋体" w:cs="宋体"/>
          <w:kern w:val="0"/>
          <w:sz w:val="24"/>
          <w:szCs w:val="24"/>
          <w:lang w:val="en-US" w:eastAsia="zh-CN"/>
        </w:rPr>
        <w:t>Artis Q floor，属于大型影像设备，精密度高，维修成本大，于2022年-2025年购买了三年保修，现保修期到，需要重新招标继续为该设备购买三年期保修服务。</w:t>
      </w:r>
    </w:p>
    <w:p w14:paraId="56485ED2">
      <w:pPr>
        <w:spacing w:line="360" w:lineRule="auto"/>
        <w:ind w:firstLine="240" w:firstLineChars="100"/>
        <w:jc w:val="left"/>
        <w:rPr>
          <w:rFonts w:ascii="宋体" w:hAnsi="宋体" w:eastAsia="宋体"/>
          <w:sz w:val="24"/>
          <w:szCs w:val="24"/>
          <w:u w:val="single"/>
        </w:rPr>
      </w:pPr>
      <w:r>
        <w:rPr>
          <w:rFonts w:hint="eastAsia" w:ascii="宋体" w:hAnsi="宋体" w:eastAsia="宋体" w:cs="宋体"/>
          <w:sz w:val="24"/>
          <w:szCs w:val="24"/>
        </w:rPr>
        <w:t>（2）技术参数和要求（功能和质量）</w:t>
      </w:r>
      <w:r>
        <w:rPr>
          <w:rFonts w:hint="eastAsia" w:ascii="宋体" w:hAnsi="宋体" w:eastAsia="宋体" w:cs="宋体"/>
          <w:i w:val="0"/>
          <w:iCs w:val="0"/>
          <w:color w:val="000000"/>
          <w:kern w:val="0"/>
          <w:sz w:val="16"/>
          <w:szCs w:val="16"/>
          <w:u w:val="none"/>
          <w:lang w:val="en-US" w:eastAsia="zh-CN" w:bidi="ar"/>
        </w:rPr>
        <w:t>★</w:t>
      </w:r>
    </w:p>
    <w:tbl>
      <w:tblPr>
        <w:tblStyle w:val="11"/>
        <w:tblW w:w="9810" w:type="dxa"/>
        <w:jc w:val="center"/>
        <w:tblLayout w:type="fixed"/>
        <w:tblCellMar>
          <w:top w:w="0" w:type="dxa"/>
          <w:left w:w="108" w:type="dxa"/>
          <w:bottom w:w="0" w:type="dxa"/>
          <w:right w:w="108" w:type="dxa"/>
        </w:tblCellMar>
      </w:tblPr>
      <w:tblGrid>
        <w:gridCol w:w="1555"/>
        <w:gridCol w:w="1134"/>
        <w:gridCol w:w="7121"/>
      </w:tblGrid>
      <w:tr w14:paraId="45491D75">
        <w:tblPrEx>
          <w:tblCellMar>
            <w:top w:w="0" w:type="dxa"/>
            <w:left w:w="108" w:type="dxa"/>
            <w:bottom w:w="0" w:type="dxa"/>
            <w:right w:w="108" w:type="dxa"/>
          </w:tblCellMar>
        </w:tblPrEx>
        <w:trPr>
          <w:trHeight w:val="487"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5BD95842">
            <w:pPr>
              <w:widowControl/>
              <w:jc w:val="center"/>
              <w:rPr>
                <w:rFonts w:ascii="宋体" w:hAnsi="宋体" w:eastAsia="宋体" w:cs="宋体"/>
                <w:sz w:val="24"/>
                <w:szCs w:val="24"/>
              </w:rPr>
            </w:pPr>
            <w:r>
              <w:rPr>
                <w:rFonts w:hint="eastAsia" w:ascii="宋体" w:hAnsi="宋体" w:eastAsia="宋体" w:cs="宋体"/>
                <w:sz w:val="24"/>
                <w:szCs w:val="24"/>
              </w:rPr>
              <w:t>参数性质</w:t>
            </w:r>
          </w:p>
        </w:tc>
        <w:tc>
          <w:tcPr>
            <w:tcW w:w="1134" w:type="dxa"/>
            <w:tcBorders>
              <w:top w:val="single" w:color="auto" w:sz="4" w:space="0"/>
              <w:left w:val="nil"/>
              <w:bottom w:val="single" w:color="auto" w:sz="4" w:space="0"/>
              <w:right w:val="single" w:color="auto" w:sz="4" w:space="0"/>
            </w:tcBorders>
            <w:vAlign w:val="center"/>
          </w:tcPr>
          <w:p w14:paraId="29B7089E">
            <w:pPr>
              <w:widowControl/>
              <w:jc w:val="center"/>
              <w:rPr>
                <w:rFonts w:ascii="宋体" w:hAnsi="宋体" w:eastAsia="宋体" w:cs="宋体"/>
                <w:sz w:val="24"/>
                <w:szCs w:val="24"/>
              </w:rPr>
            </w:pPr>
            <w:r>
              <w:rPr>
                <w:rFonts w:hint="eastAsia" w:ascii="宋体" w:hAnsi="宋体" w:eastAsia="宋体" w:cs="宋体"/>
                <w:sz w:val="24"/>
                <w:szCs w:val="24"/>
              </w:rPr>
              <w:t>编号</w:t>
            </w:r>
          </w:p>
        </w:tc>
        <w:tc>
          <w:tcPr>
            <w:tcW w:w="7121" w:type="dxa"/>
            <w:tcBorders>
              <w:top w:val="single" w:color="auto" w:sz="4" w:space="0"/>
              <w:left w:val="nil"/>
              <w:bottom w:val="single" w:color="auto" w:sz="4" w:space="0"/>
              <w:right w:val="single" w:color="auto" w:sz="4" w:space="0"/>
            </w:tcBorders>
            <w:vAlign w:val="center"/>
          </w:tcPr>
          <w:p w14:paraId="2EECB0F9">
            <w:pPr>
              <w:widowControl/>
              <w:jc w:val="center"/>
              <w:rPr>
                <w:rFonts w:ascii="宋体" w:hAnsi="宋体" w:eastAsia="宋体" w:cs="宋体"/>
                <w:sz w:val="24"/>
                <w:szCs w:val="24"/>
              </w:rPr>
            </w:pPr>
            <w:r>
              <w:rPr>
                <w:rFonts w:hint="eastAsia" w:ascii="宋体" w:hAnsi="宋体" w:eastAsia="宋体" w:cs="宋体"/>
                <w:sz w:val="24"/>
                <w:szCs w:val="24"/>
              </w:rPr>
              <w:t>技术参数和要求</w:t>
            </w:r>
          </w:p>
        </w:tc>
      </w:tr>
      <w:tr w14:paraId="617F0211">
        <w:tblPrEx>
          <w:tblCellMar>
            <w:top w:w="0" w:type="dxa"/>
            <w:left w:w="108" w:type="dxa"/>
            <w:bottom w:w="0" w:type="dxa"/>
            <w:right w:w="108" w:type="dxa"/>
          </w:tblCellMar>
        </w:tblPrEx>
        <w:trPr>
          <w:trHeight w:val="32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6E496C05">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3E9AF385">
            <w:pPr>
              <w:keepNext w:val="0"/>
              <w:keepLines w:val="0"/>
              <w:widowControl/>
              <w:suppressLineNumbers w:val="0"/>
              <w:jc w:val="left"/>
              <w:textAlignment w:val="center"/>
              <w:rPr>
                <w:rFonts w:hint="eastAsia" w:ascii="微软雅黑" w:hAnsi="微软雅黑" w:eastAsia="微软雅黑"/>
                <w:sz w:val="20"/>
                <w:szCs w:val="24"/>
                <w:lang w:val="en-US" w:eastAsia="zh-CN"/>
              </w:rPr>
            </w:pPr>
            <w:r>
              <w:rPr>
                <w:rFonts w:hint="eastAsia" w:ascii="微软雅黑" w:hAnsi="微软雅黑" w:eastAsia="微软雅黑"/>
                <w:sz w:val="20"/>
                <w:szCs w:val="24"/>
                <w:lang w:val="en-US" w:eastAsia="zh-CN"/>
              </w:rPr>
              <w:t>1</w:t>
            </w:r>
          </w:p>
        </w:tc>
        <w:tc>
          <w:tcPr>
            <w:tcW w:w="7121" w:type="dxa"/>
            <w:tcBorders>
              <w:top w:val="single" w:color="auto" w:sz="4" w:space="0"/>
              <w:left w:val="nil"/>
              <w:bottom w:val="single" w:color="auto" w:sz="4" w:space="0"/>
              <w:right w:val="single" w:color="auto" w:sz="4" w:space="0"/>
            </w:tcBorders>
            <w:vAlign w:val="center"/>
          </w:tcPr>
          <w:p w14:paraId="28971DDD">
            <w:pPr>
              <w:keepNext w:val="0"/>
              <w:keepLines w:val="0"/>
              <w:widowControl/>
              <w:suppressLineNumbers w:val="0"/>
              <w:jc w:val="left"/>
              <w:textAlignment w:val="center"/>
              <w:rPr>
                <w:rFonts w:hint="default" w:ascii="微软雅黑" w:hAnsi="微软雅黑" w:eastAsia="微软雅黑"/>
                <w:sz w:val="20"/>
                <w:szCs w:val="24"/>
                <w:lang w:val="en-US" w:eastAsia="zh-CN"/>
              </w:rPr>
            </w:pPr>
            <w:r>
              <w:rPr>
                <w:rFonts w:hint="eastAsia" w:ascii="微软雅黑" w:hAnsi="微软雅黑" w:eastAsia="微软雅黑"/>
                <w:sz w:val="20"/>
                <w:szCs w:val="24"/>
                <w:lang w:val="en-US" w:eastAsia="zh-CN"/>
              </w:rPr>
              <w:t>参保设备基本情况：医用血管造影X射线机；生产厂家：西门子；设备型号：Artis Q floor；数量：1台。</w:t>
            </w:r>
          </w:p>
        </w:tc>
      </w:tr>
      <w:tr w14:paraId="5BEEE096">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5FDB0B5">
            <w:pPr>
              <w:widowControl/>
              <w:jc w:val="center"/>
              <w:rPr>
                <w:rFonts w:ascii="宋体" w:hAnsi="宋体" w:eastAsia="宋体" w:cs="宋体"/>
                <w:sz w:val="32"/>
                <w:szCs w:val="32"/>
              </w:rPr>
            </w:pPr>
            <w:r>
              <w:rPr>
                <w:rFonts w:hint="eastAsia" w:ascii="宋体" w:hAnsi="宋体" w:eastAsia="宋体" w:cs="宋体"/>
                <w:i w:val="0"/>
                <w:iCs w:val="0"/>
                <w:color w:val="000000"/>
                <w:kern w:val="0"/>
                <w:sz w:val="20"/>
                <w:szCs w:val="20"/>
                <w:u w:val="none"/>
                <w:lang w:val="en-US" w:eastAsia="zh-CN" w:bidi="ar"/>
              </w:rPr>
              <w:t>★</w:t>
            </w:r>
          </w:p>
        </w:tc>
        <w:tc>
          <w:tcPr>
            <w:tcW w:w="1134" w:type="dxa"/>
            <w:tcBorders>
              <w:top w:val="single" w:color="auto" w:sz="4" w:space="0"/>
              <w:left w:val="nil"/>
              <w:bottom w:val="single" w:color="auto" w:sz="4" w:space="0"/>
              <w:right w:val="single" w:color="auto" w:sz="4" w:space="0"/>
            </w:tcBorders>
            <w:vAlign w:val="center"/>
          </w:tcPr>
          <w:p w14:paraId="02B582A8">
            <w:pPr>
              <w:keepNext w:val="0"/>
              <w:keepLines w:val="0"/>
              <w:widowControl/>
              <w:suppressLineNumbers w:val="0"/>
              <w:jc w:val="both"/>
              <w:textAlignment w:val="center"/>
              <w:rPr>
                <w:rFonts w:hint="default" w:ascii="微软雅黑" w:hAnsi="微软雅黑" w:eastAsia="微软雅黑"/>
                <w:sz w:val="20"/>
                <w:szCs w:val="24"/>
                <w:lang w:val="en-US" w:eastAsia="zh-CN"/>
              </w:rPr>
            </w:pPr>
            <w:r>
              <w:rPr>
                <w:rFonts w:hint="eastAsia" w:ascii="微软雅黑" w:hAnsi="微软雅黑" w:eastAsia="微软雅黑"/>
                <w:sz w:val="20"/>
                <w:szCs w:val="24"/>
                <w:lang w:val="en-US" w:eastAsia="zh-CN"/>
              </w:rPr>
              <w:t>2</w:t>
            </w:r>
          </w:p>
        </w:tc>
        <w:tc>
          <w:tcPr>
            <w:tcW w:w="7121" w:type="dxa"/>
            <w:tcBorders>
              <w:top w:val="single" w:color="auto" w:sz="4" w:space="0"/>
              <w:left w:val="nil"/>
              <w:bottom w:val="single" w:color="auto" w:sz="4" w:space="0"/>
              <w:right w:val="single" w:color="auto" w:sz="4" w:space="0"/>
            </w:tcBorders>
            <w:vAlign w:val="center"/>
          </w:tcPr>
          <w:p w14:paraId="79E201EF">
            <w:pPr>
              <w:keepNext w:val="0"/>
              <w:keepLines w:val="0"/>
              <w:widowControl/>
              <w:suppressLineNumbers w:val="0"/>
              <w:jc w:val="both"/>
              <w:textAlignment w:val="center"/>
              <w:rPr>
                <w:rFonts w:hint="default" w:ascii="微软雅黑" w:hAnsi="微软雅黑" w:eastAsia="微软雅黑"/>
                <w:sz w:val="20"/>
                <w:szCs w:val="24"/>
                <w:lang w:val="en-US" w:eastAsia="zh-CN"/>
              </w:rPr>
            </w:pPr>
            <w:r>
              <w:rPr>
                <w:rFonts w:hint="default" w:ascii="微软雅黑" w:hAnsi="微软雅黑" w:eastAsia="微软雅黑"/>
                <w:sz w:val="20"/>
                <w:szCs w:val="24"/>
                <w:lang w:val="en-US" w:eastAsia="zh-CN"/>
              </w:rPr>
              <w:t>维保范围：整机全保，包含球管、探测器、西门子工作站等全套设备的人工服务及备件更换服务。</w:t>
            </w:r>
            <w:r>
              <w:rPr>
                <w:rFonts w:hint="eastAsia" w:ascii="微软雅黑" w:hAnsi="微软雅黑" w:eastAsia="微软雅黑"/>
                <w:sz w:val="20"/>
                <w:szCs w:val="24"/>
                <w:lang w:val="en-US" w:eastAsia="zh-CN"/>
              </w:rPr>
              <w:t>要求更换原厂全新备件。</w:t>
            </w:r>
          </w:p>
        </w:tc>
      </w:tr>
      <w:tr w14:paraId="6E23F53B">
        <w:tblPrEx>
          <w:tblCellMar>
            <w:top w:w="0" w:type="dxa"/>
            <w:left w:w="108" w:type="dxa"/>
            <w:bottom w:w="0" w:type="dxa"/>
            <w:right w:w="108" w:type="dxa"/>
          </w:tblCellMar>
        </w:tblPrEx>
        <w:trPr>
          <w:trHeight w:val="90"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C764A97">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3D795B57">
            <w:pPr>
              <w:keepNext w:val="0"/>
              <w:keepLines w:val="0"/>
              <w:widowControl/>
              <w:suppressLineNumbers w:val="0"/>
              <w:jc w:val="both"/>
              <w:textAlignment w:val="center"/>
              <w:rPr>
                <w:rFonts w:hint="default" w:ascii="微软雅黑" w:hAnsi="微软雅黑" w:eastAsia="微软雅黑"/>
                <w:sz w:val="20"/>
                <w:szCs w:val="24"/>
                <w:lang w:val="en-US" w:eastAsia="zh-CN"/>
              </w:rPr>
            </w:pPr>
            <w:r>
              <w:rPr>
                <w:rFonts w:hint="eastAsia" w:ascii="微软雅黑" w:hAnsi="微软雅黑" w:eastAsia="微软雅黑"/>
                <w:sz w:val="20"/>
                <w:szCs w:val="24"/>
                <w:lang w:val="en-US" w:eastAsia="zh-CN"/>
              </w:rPr>
              <w:t>3</w:t>
            </w:r>
          </w:p>
        </w:tc>
        <w:tc>
          <w:tcPr>
            <w:tcW w:w="7121" w:type="dxa"/>
            <w:tcBorders>
              <w:top w:val="single" w:color="auto" w:sz="4" w:space="0"/>
              <w:left w:val="nil"/>
              <w:bottom w:val="single" w:color="auto" w:sz="4" w:space="0"/>
              <w:right w:val="single" w:color="auto" w:sz="4" w:space="0"/>
            </w:tcBorders>
            <w:vAlign w:val="center"/>
          </w:tcPr>
          <w:p w14:paraId="3C99416B">
            <w:pPr>
              <w:keepNext w:val="0"/>
              <w:keepLines w:val="0"/>
              <w:widowControl/>
              <w:suppressLineNumbers w:val="0"/>
              <w:jc w:val="left"/>
              <w:textAlignment w:val="center"/>
              <w:rPr>
                <w:rFonts w:hint="eastAsia" w:ascii="微软雅黑" w:hAnsi="微软雅黑" w:eastAsia="微软雅黑"/>
                <w:sz w:val="20"/>
                <w:szCs w:val="24"/>
                <w:lang w:val="en-US" w:eastAsia="zh-CN"/>
              </w:rPr>
            </w:pPr>
            <w:r>
              <w:rPr>
                <w:rFonts w:hint="eastAsia" w:ascii="微软雅黑" w:hAnsi="微软雅黑" w:eastAsia="微软雅黑"/>
                <w:sz w:val="20"/>
                <w:szCs w:val="24"/>
                <w:lang w:val="en-US" w:eastAsia="zh-CN"/>
              </w:rPr>
              <w:t>开机率≥95%。</w:t>
            </w:r>
          </w:p>
        </w:tc>
      </w:tr>
      <w:tr w14:paraId="1322F3B9">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0AF6B8E">
            <w:pPr>
              <w:keepNext w:val="0"/>
              <w:keepLines w:val="0"/>
              <w:widowControl/>
              <w:suppressLineNumbers w:val="0"/>
              <w:jc w:val="both"/>
              <w:textAlignment w:val="center"/>
              <w:rPr>
                <w:rFonts w:hint="eastAsia" w:ascii="微软雅黑" w:hAnsi="微软雅黑" w:eastAsia="微软雅黑"/>
                <w:sz w:val="20"/>
                <w:szCs w:val="24"/>
                <w:lang w:val="en-US" w:eastAsia="zh-CN"/>
              </w:rPr>
            </w:pPr>
          </w:p>
        </w:tc>
        <w:tc>
          <w:tcPr>
            <w:tcW w:w="1134" w:type="dxa"/>
            <w:tcBorders>
              <w:top w:val="single" w:color="auto" w:sz="4" w:space="0"/>
              <w:left w:val="nil"/>
              <w:bottom w:val="single" w:color="auto" w:sz="4" w:space="0"/>
              <w:right w:val="single" w:color="auto" w:sz="4" w:space="0"/>
            </w:tcBorders>
            <w:vAlign w:val="center"/>
          </w:tcPr>
          <w:p w14:paraId="55AFF158">
            <w:pPr>
              <w:keepNext w:val="0"/>
              <w:keepLines w:val="0"/>
              <w:widowControl/>
              <w:suppressLineNumbers w:val="0"/>
              <w:jc w:val="both"/>
              <w:textAlignment w:val="center"/>
              <w:rPr>
                <w:rFonts w:hint="default" w:ascii="微软雅黑" w:hAnsi="微软雅黑" w:eastAsia="微软雅黑"/>
                <w:sz w:val="20"/>
                <w:szCs w:val="24"/>
                <w:lang w:val="en-US" w:eastAsia="zh-CN"/>
              </w:rPr>
            </w:pPr>
            <w:r>
              <w:rPr>
                <w:rFonts w:hint="eastAsia" w:ascii="微软雅黑" w:hAnsi="微软雅黑" w:eastAsia="微软雅黑"/>
                <w:sz w:val="20"/>
                <w:szCs w:val="24"/>
                <w:lang w:val="en-US" w:eastAsia="zh-CN"/>
              </w:rPr>
              <w:t>4</w:t>
            </w:r>
          </w:p>
        </w:tc>
        <w:tc>
          <w:tcPr>
            <w:tcW w:w="7121" w:type="dxa"/>
            <w:tcBorders>
              <w:top w:val="single" w:color="auto" w:sz="4" w:space="0"/>
              <w:left w:val="nil"/>
              <w:bottom w:val="single" w:color="auto" w:sz="4" w:space="0"/>
              <w:right w:val="single" w:color="auto" w:sz="4" w:space="0"/>
            </w:tcBorders>
            <w:vAlign w:val="center"/>
          </w:tcPr>
          <w:p w14:paraId="500A460B">
            <w:pPr>
              <w:keepNext w:val="0"/>
              <w:keepLines w:val="0"/>
              <w:widowControl/>
              <w:suppressLineNumbers w:val="0"/>
              <w:jc w:val="left"/>
              <w:textAlignment w:val="center"/>
              <w:rPr>
                <w:rFonts w:hint="eastAsia" w:ascii="微软雅黑" w:hAnsi="微软雅黑" w:eastAsia="微软雅黑"/>
                <w:sz w:val="20"/>
                <w:szCs w:val="24"/>
                <w:lang w:val="en-US" w:eastAsia="zh-CN"/>
              </w:rPr>
            </w:pPr>
            <w:r>
              <w:rPr>
                <w:rFonts w:hint="eastAsia" w:ascii="微软雅黑" w:hAnsi="微软雅黑" w:eastAsia="微软雅黑"/>
                <w:sz w:val="20"/>
                <w:szCs w:val="24"/>
                <w:lang w:val="en-US" w:eastAsia="zh-CN"/>
              </w:rPr>
              <w:t>每年不少于2次定期的维护保养，保养内容应遵照设备生产厂家规定的流程及标准执行。投标人须提供详细的维护保养方案，包含但不限于：安全检查、设备清洁、系统性能测试及校准、电气环境检测等。</w:t>
            </w:r>
          </w:p>
        </w:tc>
      </w:tr>
      <w:tr w14:paraId="24B7A063">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287D44E2">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1362773B">
            <w:pPr>
              <w:keepNext w:val="0"/>
              <w:keepLines w:val="0"/>
              <w:widowControl/>
              <w:suppressLineNumbers w:val="0"/>
              <w:jc w:val="both"/>
              <w:textAlignment w:val="center"/>
              <w:rPr>
                <w:rFonts w:hint="default" w:ascii="微软雅黑" w:hAnsi="微软雅黑" w:eastAsia="微软雅黑"/>
                <w:sz w:val="20"/>
                <w:szCs w:val="24"/>
                <w:lang w:val="en-US" w:eastAsia="zh-CN"/>
              </w:rPr>
            </w:pPr>
            <w:r>
              <w:rPr>
                <w:rFonts w:hint="eastAsia" w:ascii="微软雅黑" w:hAnsi="微软雅黑" w:eastAsia="微软雅黑"/>
                <w:sz w:val="20"/>
                <w:szCs w:val="24"/>
                <w:lang w:val="en-US" w:eastAsia="zh-CN"/>
              </w:rPr>
              <w:t>5</w:t>
            </w:r>
          </w:p>
        </w:tc>
        <w:tc>
          <w:tcPr>
            <w:tcW w:w="7121" w:type="dxa"/>
            <w:tcBorders>
              <w:top w:val="single" w:color="auto" w:sz="4" w:space="0"/>
              <w:left w:val="nil"/>
              <w:bottom w:val="single" w:color="auto" w:sz="4" w:space="0"/>
              <w:right w:val="single" w:color="auto" w:sz="4" w:space="0"/>
            </w:tcBorders>
            <w:vAlign w:val="center"/>
          </w:tcPr>
          <w:p w14:paraId="11FE504C">
            <w:pPr>
              <w:keepNext w:val="0"/>
              <w:keepLines w:val="0"/>
              <w:widowControl/>
              <w:suppressLineNumbers w:val="0"/>
              <w:jc w:val="left"/>
              <w:textAlignment w:val="center"/>
              <w:rPr>
                <w:rFonts w:hint="eastAsia" w:ascii="微软雅黑" w:hAnsi="微软雅黑" w:eastAsia="微软雅黑"/>
                <w:sz w:val="20"/>
                <w:szCs w:val="24"/>
                <w:lang w:val="en-US" w:eastAsia="zh-CN"/>
              </w:rPr>
            </w:pPr>
            <w:r>
              <w:rPr>
                <w:rFonts w:hint="eastAsia" w:ascii="微软雅黑" w:hAnsi="微软雅黑" w:eastAsia="微软雅黑"/>
                <w:sz w:val="20"/>
                <w:szCs w:val="24"/>
                <w:lang w:val="en-US" w:eastAsia="zh-CN"/>
              </w:rPr>
              <w:t>接到报修后在2小时内技术响应，24小时内到达现场排除故障，国内有库存备件送达期限不超过2个工作日、国外有库存备件送达期限不超过5个工作日。</w:t>
            </w:r>
          </w:p>
        </w:tc>
      </w:tr>
      <w:tr w14:paraId="0309401F">
        <w:tblPrEx>
          <w:tblCellMar>
            <w:top w:w="0" w:type="dxa"/>
            <w:left w:w="108" w:type="dxa"/>
            <w:bottom w:w="0" w:type="dxa"/>
            <w:right w:w="108" w:type="dxa"/>
          </w:tblCellMar>
        </w:tblPrEx>
        <w:trPr>
          <w:trHeight w:val="1472"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571D8797">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3385DF54">
            <w:pPr>
              <w:keepNext w:val="0"/>
              <w:keepLines w:val="0"/>
              <w:widowControl/>
              <w:suppressLineNumbers w:val="0"/>
              <w:jc w:val="both"/>
              <w:textAlignment w:val="center"/>
              <w:rPr>
                <w:rFonts w:hint="default" w:ascii="微软雅黑" w:hAnsi="微软雅黑" w:eastAsia="微软雅黑"/>
                <w:sz w:val="20"/>
                <w:szCs w:val="24"/>
                <w:lang w:val="en-US" w:eastAsia="zh-CN"/>
              </w:rPr>
            </w:pPr>
            <w:r>
              <w:rPr>
                <w:rFonts w:hint="eastAsia" w:ascii="微软雅黑" w:hAnsi="微软雅黑" w:eastAsia="微软雅黑"/>
                <w:sz w:val="20"/>
                <w:szCs w:val="24"/>
                <w:lang w:val="en-US" w:eastAsia="zh-CN"/>
              </w:rPr>
              <w:t>6</w:t>
            </w:r>
          </w:p>
        </w:tc>
        <w:tc>
          <w:tcPr>
            <w:tcW w:w="7121" w:type="dxa"/>
            <w:tcBorders>
              <w:top w:val="single" w:color="auto" w:sz="4" w:space="0"/>
              <w:left w:val="nil"/>
              <w:bottom w:val="single" w:color="auto" w:sz="4" w:space="0"/>
              <w:right w:val="single" w:color="auto" w:sz="4" w:space="0"/>
            </w:tcBorders>
            <w:vAlign w:val="center"/>
          </w:tcPr>
          <w:p w14:paraId="5F080E4D">
            <w:pPr>
              <w:keepNext w:val="0"/>
              <w:keepLines w:val="0"/>
              <w:widowControl/>
              <w:suppressLineNumbers w:val="0"/>
              <w:jc w:val="left"/>
              <w:textAlignment w:val="center"/>
              <w:rPr>
                <w:rFonts w:hint="eastAsia" w:ascii="微软雅黑" w:hAnsi="微软雅黑" w:eastAsia="微软雅黑"/>
                <w:sz w:val="20"/>
                <w:szCs w:val="24"/>
                <w:lang w:val="en-US" w:eastAsia="zh-CN"/>
              </w:rPr>
            </w:pPr>
            <w:r>
              <w:rPr>
                <w:rFonts w:hint="eastAsia" w:ascii="微软雅黑" w:hAnsi="微软雅黑" w:eastAsia="微软雅黑"/>
                <w:sz w:val="20"/>
                <w:szCs w:val="24"/>
                <w:lang w:val="en-US" w:eastAsia="zh-CN"/>
              </w:rPr>
              <w:t>设有专门的球管、零备件仓库，以确保配件及时供应。</w:t>
            </w:r>
          </w:p>
        </w:tc>
      </w:tr>
      <w:tr w14:paraId="2E8AD5E0">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157EBD41">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1E9A8A9A">
            <w:pPr>
              <w:keepNext w:val="0"/>
              <w:keepLines w:val="0"/>
              <w:widowControl/>
              <w:suppressLineNumbers w:val="0"/>
              <w:jc w:val="both"/>
              <w:textAlignment w:val="center"/>
              <w:rPr>
                <w:rFonts w:hint="default" w:ascii="微软雅黑" w:hAnsi="微软雅黑" w:eastAsia="微软雅黑"/>
                <w:sz w:val="20"/>
                <w:szCs w:val="24"/>
                <w:lang w:val="en-US" w:eastAsia="zh-CN"/>
              </w:rPr>
            </w:pPr>
            <w:r>
              <w:rPr>
                <w:rFonts w:hint="eastAsia" w:ascii="微软雅黑" w:hAnsi="微软雅黑" w:eastAsia="微软雅黑"/>
                <w:sz w:val="20"/>
                <w:szCs w:val="24"/>
                <w:lang w:val="en-US" w:eastAsia="zh-CN"/>
              </w:rPr>
              <w:t>7</w:t>
            </w:r>
          </w:p>
        </w:tc>
        <w:tc>
          <w:tcPr>
            <w:tcW w:w="7121" w:type="dxa"/>
            <w:tcBorders>
              <w:top w:val="single" w:color="auto" w:sz="4" w:space="0"/>
              <w:left w:val="nil"/>
              <w:bottom w:val="single" w:color="auto" w:sz="4" w:space="0"/>
              <w:right w:val="single" w:color="auto" w:sz="4" w:space="0"/>
            </w:tcBorders>
            <w:vAlign w:val="center"/>
          </w:tcPr>
          <w:p w14:paraId="18232EF2">
            <w:pPr>
              <w:keepNext w:val="0"/>
              <w:keepLines w:val="0"/>
              <w:widowControl/>
              <w:suppressLineNumbers w:val="0"/>
              <w:jc w:val="left"/>
              <w:textAlignment w:val="center"/>
              <w:rPr>
                <w:rFonts w:hint="default" w:ascii="微软雅黑" w:hAnsi="微软雅黑" w:eastAsia="微软雅黑"/>
                <w:sz w:val="20"/>
                <w:szCs w:val="24"/>
                <w:lang w:val="en-US" w:eastAsia="zh-CN"/>
              </w:rPr>
            </w:pPr>
            <w:r>
              <w:rPr>
                <w:rFonts w:hint="eastAsia" w:ascii="微软雅黑" w:hAnsi="微软雅黑" w:eastAsia="微软雅黑"/>
                <w:sz w:val="20"/>
                <w:szCs w:val="24"/>
                <w:lang w:val="en-US" w:eastAsia="zh-CN"/>
              </w:rPr>
              <w:t>投标人在本地区至少配备5名全职的、经西门子厂家认证合格的工程师，需提供认证证书复印件。</w:t>
            </w:r>
          </w:p>
        </w:tc>
      </w:tr>
      <w:tr w14:paraId="402874AC">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5962BD34">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34C31490">
            <w:pPr>
              <w:keepNext w:val="0"/>
              <w:keepLines w:val="0"/>
              <w:widowControl/>
              <w:suppressLineNumbers w:val="0"/>
              <w:jc w:val="both"/>
              <w:textAlignment w:val="center"/>
              <w:rPr>
                <w:rFonts w:hint="default" w:ascii="微软雅黑" w:hAnsi="微软雅黑" w:eastAsia="微软雅黑"/>
                <w:sz w:val="20"/>
                <w:szCs w:val="24"/>
                <w:lang w:val="en-US" w:eastAsia="zh-CN"/>
              </w:rPr>
            </w:pPr>
            <w:r>
              <w:rPr>
                <w:rFonts w:hint="eastAsia" w:ascii="微软雅黑" w:hAnsi="微软雅黑" w:eastAsia="微软雅黑"/>
                <w:sz w:val="20"/>
                <w:szCs w:val="24"/>
                <w:lang w:val="en-US" w:eastAsia="zh-CN"/>
              </w:rPr>
              <w:t>8</w:t>
            </w:r>
          </w:p>
        </w:tc>
        <w:tc>
          <w:tcPr>
            <w:tcW w:w="7121" w:type="dxa"/>
            <w:tcBorders>
              <w:top w:val="single" w:color="auto" w:sz="4" w:space="0"/>
              <w:left w:val="nil"/>
              <w:bottom w:val="single" w:color="auto" w:sz="4" w:space="0"/>
              <w:right w:val="single" w:color="auto" w:sz="4" w:space="0"/>
            </w:tcBorders>
            <w:vAlign w:val="center"/>
          </w:tcPr>
          <w:p w14:paraId="54FCC17D">
            <w:pPr>
              <w:keepNext w:val="0"/>
              <w:keepLines w:val="0"/>
              <w:widowControl/>
              <w:suppressLineNumbers w:val="0"/>
              <w:jc w:val="left"/>
              <w:textAlignment w:val="center"/>
              <w:rPr>
                <w:rFonts w:hint="eastAsia" w:ascii="微软雅黑" w:hAnsi="微软雅黑" w:eastAsia="微软雅黑"/>
                <w:sz w:val="20"/>
                <w:szCs w:val="24"/>
                <w:lang w:val="en-US" w:eastAsia="zh-CN"/>
              </w:rPr>
            </w:pPr>
            <w:r>
              <w:rPr>
                <w:rFonts w:hint="eastAsia" w:ascii="微软雅黑" w:hAnsi="微软雅黑" w:eastAsia="微软雅黑"/>
                <w:sz w:val="20"/>
                <w:szCs w:val="24"/>
                <w:lang w:val="en-US" w:eastAsia="zh-CN"/>
              </w:rPr>
              <w:t>投标人须具备400客户服务专线，全年365天开通，全天开通服务。</w:t>
            </w:r>
          </w:p>
        </w:tc>
      </w:tr>
      <w:tr w14:paraId="497669F3">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0F3FD8A">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607CB7A8">
            <w:pPr>
              <w:keepNext w:val="0"/>
              <w:keepLines w:val="0"/>
              <w:widowControl/>
              <w:suppressLineNumbers w:val="0"/>
              <w:jc w:val="both"/>
              <w:textAlignment w:val="center"/>
              <w:rPr>
                <w:rFonts w:hint="default" w:ascii="微软雅黑" w:hAnsi="微软雅黑" w:eastAsia="微软雅黑"/>
                <w:sz w:val="20"/>
                <w:szCs w:val="24"/>
                <w:lang w:val="en-US" w:eastAsia="zh-CN"/>
              </w:rPr>
            </w:pPr>
            <w:r>
              <w:rPr>
                <w:rFonts w:hint="eastAsia" w:ascii="微软雅黑" w:hAnsi="微软雅黑" w:eastAsia="微软雅黑"/>
                <w:sz w:val="20"/>
                <w:szCs w:val="24"/>
                <w:lang w:val="en-US" w:eastAsia="zh-CN"/>
              </w:rPr>
              <w:t>9</w:t>
            </w:r>
          </w:p>
        </w:tc>
        <w:tc>
          <w:tcPr>
            <w:tcW w:w="7121" w:type="dxa"/>
            <w:tcBorders>
              <w:top w:val="single" w:color="auto" w:sz="4" w:space="0"/>
              <w:left w:val="nil"/>
              <w:bottom w:val="single" w:color="auto" w:sz="4" w:space="0"/>
              <w:right w:val="single" w:color="auto" w:sz="4" w:space="0"/>
            </w:tcBorders>
            <w:vAlign w:val="center"/>
          </w:tcPr>
          <w:p w14:paraId="14FC9B77">
            <w:pPr>
              <w:keepNext w:val="0"/>
              <w:keepLines w:val="0"/>
              <w:widowControl/>
              <w:suppressLineNumbers w:val="0"/>
              <w:jc w:val="left"/>
              <w:textAlignment w:val="center"/>
              <w:rPr>
                <w:rFonts w:hint="eastAsia" w:ascii="微软雅黑" w:hAnsi="微软雅黑" w:eastAsia="微软雅黑"/>
                <w:sz w:val="20"/>
                <w:szCs w:val="24"/>
                <w:lang w:val="en-US" w:eastAsia="zh-CN"/>
              </w:rPr>
            </w:pPr>
            <w:r>
              <w:rPr>
                <w:rFonts w:hint="eastAsia" w:ascii="微软雅黑" w:hAnsi="微软雅黑" w:eastAsia="微软雅黑"/>
                <w:sz w:val="20"/>
                <w:szCs w:val="24"/>
                <w:lang w:val="en-US" w:eastAsia="zh-CN"/>
              </w:rPr>
              <w:t>维保期内免费提供设备（含独立工作站）的系统软件升级补丁和技术支持，保证所有系统软件为最新版本。</w:t>
            </w:r>
          </w:p>
        </w:tc>
      </w:tr>
      <w:tr w14:paraId="2E30F99A">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2573320E">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79085911">
            <w:pPr>
              <w:keepNext w:val="0"/>
              <w:keepLines w:val="0"/>
              <w:widowControl/>
              <w:suppressLineNumbers w:val="0"/>
              <w:jc w:val="both"/>
              <w:textAlignment w:val="center"/>
              <w:rPr>
                <w:rFonts w:hint="default" w:ascii="微软雅黑" w:hAnsi="微软雅黑" w:eastAsia="微软雅黑"/>
                <w:sz w:val="20"/>
                <w:szCs w:val="24"/>
                <w:lang w:val="en-US" w:eastAsia="zh-CN"/>
              </w:rPr>
            </w:pPr>
            <w:r>
              <w:rPr>
                <w:rFonts w:hint="eastAsia" w:ascii="微软雅黑" w:hAnsi="微软雅黑" w:eastAsia="微软雅黑"/>
                <w:sz w:val="20"/>
                <w:szCs w:val="24"/>
                <w:lang w:val="en-US" w:eastAsia="zh-CN"/>
              </w:rPr>
              <w:t>10</w:t>
            </w:r>
          </w:p>
        </w:tc>
        <w:tc>
          <w:tcPr>
            <w:tcW w:w="7121" w:type="dxa"/>
            <w:tcBorders>
              <w:top w:val="single" w:color="auto" w:sz="4" w:space="0"/>
              <w:left w:val="nil"/>
              <w:bottom w:val="single" w:color="auto" w:sz="4" w:space="0"/>
              <w:right w:val="single" w:color="auto" w:sz="4" w:space="0"/>
            </w:tcBorders>
            <w:vAlign w:val="center"/>
          </w:tcPr>
          <w:p w14:paraId="11696AE8">
            <w:pPr>
              <w:keepNext w:val="0"/>
              <w:keepLines w:val="0"/>
              <w:widowControl/>
              <w:suppressLineNumbers w:val="0"/>
              <w:jc w:val="left"/>
              <w:textAlignment w:val="center"/>
              <w:rPr>
                <w:rFonts w:hint="eastAsia" w:ascii="微软雅黑" w:hAnsi="微软雅黑" w:eastAsia="微软雅黑"/>
                <w:sz w:val="20"/>
                <w:szCs w:val="24"/>
                <w:lang w:val="en-US" w:eastAsia="zh-CN"/>
              </w:rPr>
            </w:pPr>
            <w:r>
              <w:rPr>
                <w:rFonts w:hint="eastAsia" w:ascii="微软雅黑" w:hAnsi="微软雅黑" w:eastAsia="微软雅黑"/>
                <w:sz w:val="20"/>
                <w:szCs w:val="24"/>
                <w:lang w:val="en-US" w:eastAsia="zh-CN"/>
              </w:rPr>
              <w:t>能以现场的和远程的形式，提供临床扫描、图像处理和相应业务拓展的专业支持。</w:t>
            </w:r>
          </w:p>
        </w:tc>
      </w:tr>
      <w:tr w14:paraId="113F1BCF">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2F6E0B5A">
            <w:pPr>
              <w:widowControl/>
              <w:jc w:val="center"/>
              <w:rPr>
                <w:rFonts w:ascii="宋体" w:hAnsi="宋体" w:eastAsia="宋体" w:cs="宋体"/>
                <w:sz w:val="32"/>
                <w:szCs w:val="32"/>
              </w:rPr>
            </w:pPr>
            <w:r>
              <w:rPr>
                <w:rFonts w:hint="eastAsia" w:ascii="宋体" w:hAnsi="宋体" w:eastAsia="宋体" w:cs="宋体"/>
                <w:i w:val="0"/>
                <w:iCs w:val="0"/>
                <w:color w:val="000000"/>
                <w:kern w:val="0"/>
                <w:sz w:val="20"/>
                <w:szCs w:val="20"/>
                <w:u w:val="none"/>
                <w:lang w:val="en-US" w:eastAsia="zh-CN" w:bidi="ar"/>
              </w:rPr>
              <w:t>★</w:t>
            </w:r>
          </w:p>
        </w:tc>
        <w:tc>
          <w:tcPr>
            <w:tcW w:w="1134" w:type="dxa"/>
            <w:tcBorders>
              <w:top w:val="single" w:color="auto" w:sz="4" w:space="0"/>
              <w:left w:val="nil"/>
              <w:bottom w:val="single" w:color="auto" w:sz="4" w:space="0"/>
              <w:right w:val="single" w:color="auto" w:sz="4" w:space="0"/>
            </w:tcBorders>
            <w:vAlign w:val="center"/>
          </w:tcPr>
          <w:p w14:paraId="49ACA881">
            <w:pPr>
              <w:keepNext w:val="0"/>
              <w:keepLines w:val="0"/>
              <w:widowControl/>
              <w:suppressLineNumbers w:val="0"/>
              <w:jc w:val="both"/>
              <w:textAlignment w:val="center"/>
              <w:rPr>
                <w:rFonts w:hint="default" w:ascii="微软雅黑" w:hAnsi="微软雅黑" w:eastAsia="微软雅黑"/>
                <w:sz w:val="20"/>
                <w:szCs w:val="24"/>
                <w:lang w:val="en-US" w:eastAsia="zh-CN"/>
              </w:rPr>
            </w:pPr>
            <w:r>
              <w:rPr>
                <w:rFonts w:hint="eastAsia" w:ascii="微软雅黑" w:hAnsi="微软雅黑" w:eastAsia="微软雅黑"/>
                <w:sz w:val="20"/>
                <w:szCs w:val="24"/>
                <w:lang w:val="en-US" w:eastAsia="zh-CN"/>
              </w:rPr>
              <w:t>11</w:t>
            </w:r>
          </w:p>
        </w:tc>
        <w:tc>
          <w:tcPr>
            <w:tcW w:w="7121" w:type="dxa"/>
            <w:tcBorders>
              <w:top w:val="single" w:color="auto" w:sz="4" w:space="0"/>
              <w:left w:val="nil"/>
              <w:bottom w:val="single" w:color="auto" w:sz="4" w:space="0"/>
              <w:right w:val="single" w:color="auto" w:sz="4" w:space="0"/>
            </w:tcBorders>
            <w:vAlign w:val="center"/>
          </w:tcPr>
          <w:p w14:paraId="425DD3F8">
            <w:pPr>
              <w:keepNext w:val="0"/>
              <w:keepLines w:val="0"/>
              <w:widowControl/>
              <w:suppressLineNumbers w:val="0"/>
              <w:jc w:val="left"/>
              <w:textAlignment w:val="center"/>
              <w:rPr>
                <w:rFonts w:hint="default" w:ascii="微软雅黑" w:hAnsi="微软雅黑" w:eastAsia="微软雅黑"/>
                <w:sz w:val="20"/>
                <w:szCs w:val="24"/>
                <w:lang w:val="en-US" w:eastAsia="zh-CN"/>
              </w:rPr>
            </w:pPr>
            <w:r>
              <w:rPr>
                <w:rFonts w:hint="eastAsia" w:ascii="微软雅黑" w:hAnsi="微软雅黑" w:eastAsia="微软雅黑"/>
                <w:sz w:val="20"/>
                <w:szCs w:val="24"/>
                <w:lang w:val="en-US" w:eastAsia="zh-CN"/>
              </w:rPr>
              <w:t>项目必须由投标人自行完成，不得转包或分包。</w:t>
            </w:r>
          </w:p>
        </w:tc>
      </w:tr>
      <w:tr w14:paraId="12FA4C41">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2ABB48D7">
            <w:pPr>
              <w:widowControl/>
              <w:jc w:val="center"/>
              <w:rPr>
                <w:rFonts w:ascii="宋体" w:hAnsi="宋体" w:eastAsia="宋体" w:cs="宋体"/>
                <w:sz w:val="32"/>
                <w:szCs w:val="32"/>
              </w:rPr>
            </w:pPr>
            <w:r>
              <w:rPr>
                <w:rFonts w:hint="eastAsia" w:ascii="宋体" w:hAnsi="宋体" w:eastAsia="宋体" w:cs="宋体"/>
                <w:i w:val="0"/>
                <w:iCs w:val="0"/>
                <w:color w:val="000000"/>
                <w:kern w:val="0"/>
                <w:sz w:val="20"/>
                <w:szCs w:val="20"/>
                <w:u w:val="none"/>
                <w:lang w:val="en-US" w:eastAsia="zh-CN" w:bidi="ar"/>
              </w:rPr>
              <w:t>★</w:t>
            </w:r>
          </w:p>
        </w:tc>
        <w:tc>
          <w:tcPr>
            <w:tcW w:w="1134" w:type="dxa"/>
            <w:tcBorders>
              <w:top w:val="single" w:color="auto" w:sz="4" w:space="0"/>
              <w:left w:val="nil"/>
              <w:bottom w:val="single" w:color="auto" w:sz="4" w:space="0"/>
              <w:right w:val="single" w:color="auto" w:sz="4" w:space="0"/>
            </w:tcBorders>
            <w:vAlign w:val="center"/>
          </w:tcPr>
          <w:p w14:paraId="10CED00F">
            <w:pPr>
              <w:keepNext w:val="0"/>
              <w:keepLines w:val="0"/>
              <w:widowControl/>
              <w:suppressLineNumbers w:val="0"/>
              <w:jc w:val="both"/>
              <w:textAlignment w:val="center"/>
              <w:rPr>
                <w:rFonts w:hint="default" w:ascii="微软雅黑" w:hAnsi="微软雅黑" w:eastAsia="微软雅黑"/>
                <w:sz w:val="20"/>
                <w:szCs w:val="24"/>
                <w:lang w:val="en-US" w:eastAsia="zh-CN"/>
              </w:rPr>
            </w:pPr>
            <w:r>
              <w:rPr>
                <w:rFonts w:hint="eastAsia" w:ascii="微软雅黑" w:hAnsi="微软雅黑" w:eastAsia="微软雅黑"/>
                <w:sz w:val="20"/>
                <w:szCs w:val="24"/>
                <w:lang w:val="en-US" w:eastAsia="zh-CN"/>
              </w:rPr>
              <w:t>12</w:t>
            </w:r>
          </w:p>
        </w:tc>
        <w:tc>
          <w:tcPr>
            <w:tcW w:w="7121" w:type="dxa"/>
            <w:tcBorders>
              <w:top w:val="single" w:color="auto" w:sz="4" w:space="0"/>
              <w:left w:val="nil"/>
              <w:bottom w:val="single" w:color="auto" w:sz="4" w:space="0"/>
              <w:right w:val="single" w:color="auto" w:sz="4" w:space="0"/>
            </w:tcBorders>
            <w:vAlign w:val="center"/>
          </w:tcPr>
          <w:p w14:paraId="4DC3F370">
            <w:pPr>
              <w:keepNext w:val="0"/>
              <w:keepLines w:val="0"/>
              <w:widowControl/>
              <w:suppressLineNumbers w:val="0"/>
              <w:jc w:val="left"/>
              <w:textAlignment w:val="center"/>
              <w:rPr>
                <w:rFonts w:hint="eastAsia" w:ascii="微软雅黑" w:hAnsi="微软雅黑" w:eastAsia="微软雅黑"/>
                <w:sz w:val="20"/>
                <w:szCs w:val="24"/>
                <w:lang w:val="en-US" w:eastAsia="zh-CN"/>
              </w:rPr>
            </w:pPr>
            <w:r>
              <w:rPr>
                <w:rFonts w:hint="eastAsia" w:ascii="微软雅黑" w:hAnsi="微软雅黑" w:eastAsia="微软雅黑"/>
                <w:sz w:val="20"/>
                <w:szCs w:val="24"/>
                <w:lang w:val="en-US" w:eastAsia="zh-CN"/>
              </w:rPr>
              <w:t>投标人所有更换的零部件必须是参保设备的原厂全新备件，可提供设备配件合法来源证明。</w:t>
            </w:r>
          </w:p>
        </w:tc>
      </w:tr>
      <w:tr w14:paraId="18866488">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104E26EF">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3EDF8E00">
            <w:pPr>
              <w:keepNext w:val="0"/>
              <w:keepLines w:val="0"/>
              <w:widowControl/>
              <w:suppressLineNumbers w:val="0"/>
              <w:jc w:val="both"/>
              <w:textAlignment w:val="center"/>
              <w:rPr>
                <w:rFonts w:hint="default" w:ascii="微软雅黑" w:hAnsi="微软雅黑" w:eastAsia="微软雅黑"/>
                <w:sz w:val="20"/>
                <w:szCs w:val="24"/>
                <w:lang w:val="en-US" w:eastAsia="zh-CN"/>
              </w:rPr>
            </w:pPr>
            <w:r>
              <w:rPr>
                <w:rFonts w:hint="eastAsia" w:ascii="微软雅黑" w:hAnsi="微软雅黑" w:eastAsia="微软雅黑"/>
                <w:sz w:val="20"/>
                <w:szCs w:val="24"/>
                <w:lang w:val="en-US" w:eastAsia="zh-CN"/>
              </w:rPr>
              <w:t>13</w:t>
            </w:r>
          </w:p>
        </w:tc>
        <w:tc>
          <w:tcPr>
            <w:tcW w:w="7121" w:type="dxa"/>
            <w:tcBorders>
              <w:top w:val="single" w:color="auto" w:sz="4" w:space="0"/>
              <w:left w:val="nil"/>
              <w:bottom w:val="single" w:color="auto" w:sz="4" w:space="0"/>
              <w:right w:val="single" w:color="auto" w:sz="4" w:space="0"/>
            </w:tcBorders>
            <w:vAlign w:val="center"/>
          </w:tcPr>
          <w:p w14:paraId="381C7466">
            <w:pPr>
              <w:keepNext w:val="0"/>
              <w:keepLines w:val="0"/>
              <w:widowControl/>
              <w:suppressLineNumbers w:val="0"/>
              <w:jc w:val="left"/>
              <w:textAlignment w:val="center"/>
              <w:rPr>
                <w:rFonts w:hint="eastAsia" w:ascii="微软雅黑" w:hAnsi="微软雅黑" w:eastAsia="微软雅黑"/>
                <w:sz w:val="20"/>
                <w:szCs w:val="24"/>
                <w:lang w:val="en-US" w:eastAsia="zh-CN"/>
              </w:rPr>
            </w:pPr>
            <w:r>
              <w:rPr>
                <w:rFonts w:hint="eastAsia" w:ascii="微软雅黑" w:hAnsi="微软雅黑" w:eastAsia="微软雅黑"/>
                <w:sz w:val="20"/>
                <w:szCs w:val="24"/>
                <w:lang w:val="en-US" w:eastAsia="zh-CN"/>
              </w:rPr>
              <w:t>投标人须提供设备维修维护保养需使用的特殊精密专业工具列表，并提供年度国家级校正认证机构或其授权单位出具的有效检测报告。</w:t>
            </w:r>
          </w:p>
        </w:tc>
      </w:tr>
      <w:tr w14:paraId="530FA9FF">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2FADE01">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57649455">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7121" w:type="dxa"/>
            <w:tcBorders>
              <w:top w:val="single" w:color="auto" w:sz="4" w:space="0"/>
              <w:left w:val="nil"/>
              <w:bottom w:val="single" w:color="auto" w:sz="4" w:space="0"/>
              <w:right w:val="single" w:color="auto" w:sz="4" w:space="0"/>
            </w:tcBorders>
            <w:vAlign w:val="center"/>
          </w:tcPr>
          <w:p w14:paraId="643519B0">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微软雅黑" w:hAnsi="微软雅黑" w:eastAsia="微软雅黑"/>
                <w:sz w:val="20"/>
                <w:szCs w:val="24"/>
                <w:lang w:val="en-US" w:eastAsia="zh-CN"/>
              </w:rPr>
              <w:t>具备远程在线培训平台，提供网址。</w:t>
            </w:r>
          </w:p>
        </w:tc>
      </w:tr>
    </w:tbl>
    <w:p w14:paraId="1E1DE2A9">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3074D129">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十六、其它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153892BD">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7848AA50">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1F49D37D">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服务期（年）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十六、其它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A07F51"/>
    <w:rsid w:val="0F4E11A2"/>
    <w:rsid w:val="0FE0033A"/>
    <w:rsid w:val="10D60D02"/>
    <w:rsid w:val="110010AA"/>
    <w:rsid w:val="114A4798"/>
    <w:rsid w:val="11AB1717"/>
    <w:rsid w:val="11EF4694"/>
    <w:rsid w:val="13CA2D3B"/>
    <w:rsid w:val="150E71F6"/>
    <w:rsid w:val="1696735F"/>
    <w:rsid w:val="16E14FBF"/>
    <w:rsid w:val="19545A30"/>
    <w:rsid w:val="198E5E9E"/>
    <w:rsid w:val="19BD2CB7"/>
    <w:rsid w:val="1BB9254A"/>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E570EA"/>
    <w:rsid w:val="43B51B88"/>
    <w:rsid w:val="44AA028A"/>
    <w:rsid w:val="4603606C"/>
    <w:rsid w:val="47C04769"/>
    <w:rsid w:val="486160DA"/>
    <w:rsid w:val="489F057B"/>
    <w:rsid w:val="4A686022"/>
    <w:rsid w:val="4ABC14C5"/>
    <w:rsid w:val="4AED3729"/>
    <w:rsid w:val="4C422DF2"/>
    <w:rsid w:val="4E473895"/>
    <w:rsid w:val="4FAE4949"/>
    <w:rsid w:val="4FAE723C"/>
    <w:rsid w:val="4FB4704D"/>
    <w:rsid w:val="4FB664D2"/>
    <w:rsid w:val="50085EF9"/>
    <w:rsid w:val="50110E80"/>
    <w:rsid w:val="511070DA"/>
    <w:rsid w:val="525F3507"/>
    <w:rsid w:val="5277467D"/>
    <w:rsid w:val="53560822"/>
    <w:rsid w:val="557D67C8"/>
    <w:rsid w:val="55EC1E85"/>
    <w:rsid w:val="56866800"/>
    <w:rsid w:val="571E5CB6"/>
    <w:rsid w:val="576C6B11"/>
    <w:rsid w:val="57863DB7"/>
    <w:rsid w:val="58156ACB"/>
    <w:rsid w:val="58677144"/>
    <w:rsid w:val="59137211"/>
    <w:rsid w:val="5A17370E"/>
    <w:rsid w:val="5A7C4904"/>
    <w:rsid w:val="5C344BB6"/>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7D14995"/>
    <w:rsid w:val="68204E22"/>
    <w:rsid w:val="6C0D60E9"/>
    <w:rsid w:val="6C36144B"/>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6740</Words>
  <Characters>7532</Characters>
  <Lines>0</Lines>
  <Paragraphs>0</Paragraphs>
  <TotalTime>2</TotalTime>
  <ScaleCrop>false</ScaleCrop>
  <LinksUpToDate>false</LinksUpToDate>
  <CharactersWithSpaces>8085</CharactersWithSpaces>
  <Application>WPS Office_12.1.0.25186_F1E327BC-269C-435d-A152-05C5408002CA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2026-01-27T08:20:56Z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2052-12.1.0.25186</vt:lpwstr>
  </property>
  <property fmtid="{D5CDD505-2E9C-101B-9397-08002B2CF9AE}" pid="3" name="ICV">
    <vt:lpwstr>C16D621760DE4A7ABA749EEE9D83BE3A_13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